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DA08F" w14:textId="38C055E0" w:rsidR="00931315" w:rsidRPr="00931315" w:rsidRDefault="00931315" w:rsidP="00931315">
      <w:pPr>
        <w:pStyle w:val="Header"/>
        <w:tabs>
          <w:tab w:val="right" w:pos="9639"/>
        </w:tabs>
        <w:rPr>
          <w:rFonts w:eastAsia="MS Mincho"/>
          <w:sz w:val="24"/>
          <w:lang w:eastAsia="en-US"/>
        </w:rPr>
      </w:pPr>
      <w:r w:rsidRPr="00931315">
        <w:rPr>
          <w:rFonts w:eastAsia="MS Mincho"/>
          <w:sz w:val="24"/>
          <w:lang w:eastAsia="en-US"/>
        </w:rPr>
        <w:t>3GPP TSG RAN WG2#123</w:t>
      </w:r>
      <w:r w:rsidR="00BF1A76">
        <w:rPr>
          <w:rFonts w:eastAsia="MS Mincho"/>
          <w:sz w:val="24"/>
          <w:lang w:eastAsia="en-US"/>
        </w:rPr>
        <w:t>-bis</w:t>
      </w:r>
      <w:r w:rsidRPr="00931315">
        <w:rPr>
          <w:rFonts w:eastAsia="MS Mincho"/>
          <w:sz w:val="24"/>
          <w:lang w:eastAsia="en-US"/>
        </w:rPr>
        <w:tab/>
      </w:r>
      <w:r w:rsidR="009540CC" w:rsidRPr="009540CC">
        <w:rPr>
          <w:rFonts w:eastAsia="MS Mincho"/>
          <w:sz w:val="24"/>
          <w:lang w:eastAsia="en-US"/>
        </w:rPr>
        <w:t>R2-2310723</w:t>
      </w:r>
    </w:p>
    <w:p w14:paraId="72A62E9E" w14:textId="7E0D39F7" w:rsidR="00A37F74" w:rsidRPr="00465587" w:rsidRDefault="00BF1A76" w:rsidP="00931315">
      <w:pPr>
        <w:pStyle w:val="Header"/>
        <w:tabs>
          <w:tab w:val="right" w:pos="9639"/>
        </w:tabs>
        <w:rPr>
          <w:rFonts w:eastAsia="SimSun"/>
          <w:bCs/>
          <w:sz w:val="24"/>
          <w:szCs w:val="24"/>
          <w:lang w:eastAsia="zh-CN"/>
        </w:rPr>
      </w:pPr>
      <w:r>
        <w:rPr>
          <w:rFonts w:eastAsia="MS Mincho"/>
          <w:sz w:val="24"/>
          <w:lang w:eastAsia="en-US"/>
        </w:rPr>
        <w:t>Xiamen</w:t>
      </w:r>
      <w:r w:rsidR="00931315" w:rsidRPr="00931315">
        <w:rPr>
          <w:rFonts w:eastAsia="MS Mincho"/>
          <w:sz w:val="24"/>
          <w:lang w:eastAsia="en-US"/>
        </w:rPr>
        <w:t xml:space="preserve">, </w:t>
      </w:r>
      <w:r>
        <w:rPr>
          <w:rFonts w:eastAsia="MS Mincho"/>
          <w:sz w:val="24"/>
          <w:lang w:eastAsia="en-US"/>
        </w:rPr>
        <w:t>China</w:t>
      </w:r>
      <w:r w:rsidR="00931315" w:rsidRPr="00931315">
        <w:rPr>
          <w:rFonts w:eastAsia="MS Mincho"/>
          <w:sz w:val="24"/>
          <w:lang w:eastAsia="en-US"/>
        </w:rPr>
        <w:t xml:space="preserve">, </w:t>
      </w:r>
      <w:r>
        <w:rPr>
          <w:rFonts w:eastAsia="MS Mincho"/>
          <w:sz w:val="24"/>
          <w:lang w:eastAsia="en-US"/>
        </w:rPr>
        <w:t>9</w:t>
      </w:r>
      <w:r w:rsidRPr="00BF1A76">
        <w:rPr>
          <w:rFonts w:eastAsia="MS Mincho"/>
          <w:sz w:val="24"/>
          <w:vertAlign w:val="superscript"/>
          <w:lang w:eastAsia="en-US"/>
        </w:rPr>
        <w:t>th</w:t>
      </w:r>
      <w:r>
        <w:rPr>
          <w:rFonts w:eastAsia="MS Mincho"/>
          <w:sz w:val="24"/>
          <w:lang w:eastAsia="en-US"/>
        </w:rPr>
        <w:t xml:space="preserve"> –</w:t>
      </w:r>
      <w:r w:rsidR="00931315" w:rsidRPr="00931315">
        <w:rPr>
          <w:rFonts w:eastAsia="MS Mincho"/>
          <w:sz w:val="24"/>
          <w:lang w:eastAsia="en-US"/>
        </w:rPr>
        <w:t xml:space="preserve"> </w:t>
      </w:r>
      <w:r>
        <w:rPr>
          <w:rFonts w:eastAsia="MS Mincho"/>
          <w:sz w:val="24"/>
          <w:lang w:eastAsia="en-US"/>
        </w:rPr>
        <w:t>13</w:t>
      </w:r>
      <w:r w:rsidRPr="00BF1A76">
        <w:rPr>
          <w:rFonts w:eastAsia="MS Mincho"/>
          <w:sz w:val="24"/>
          <w:vertAlign w:val="superscript"/>
          <w:lang w:eastAsia="en-US"/>
        </w:rPr>
        <w:t>th</w:t>
      </w:r>
      <w:r>
        <w:rPr>
          <w:rFonts w:eastAsia="MS Mincho"/>
          <w:sz w:val="24"/>
          <w:lang w:eastAsia="en-US"/>
        </w:rPr>
        <w:t xml:space="preserve"> October</w:t>
      </w:r>
      <w:r w:rsidR="00931315" w:rsidRPr="00931315">
        <w:rPr>
          <w:rFonts w:eastAsia="MS Mincho"/>
          <w:sz w:val="24"/>
          <w:lang w:eastAsia="en-US"/>
        </w:rPr>
        <w:t>, 2023</w:t>
      </w:r>
      <w:r w:rsidR="00A37F74">
        <w:rPr>
          <w:rFonts w:eastAsia="SimSun"/>
          <w:noProof w:val="0"/>
          <w:sz w:val="24"/>
          <w:szCs w:val="24"/>
          <w:lang w:eastAsia="zh-CN"/>
        </w:rPr>
        <w:tab/>
      </w:r>
    </w:p>
    <w:p w14:paraId="11776FA6" w14:textId="053F663C"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403CB9C0" w14:textId="00F896F1" w:rsidR="00A209D6" w:rsidRDefault="00A209D6" w:rsidP="00A209D6">
      <w:pPr>
        <w:pStyle w:val="Header"/>
        <w:rPr>
          <w:bCs/>
          <w:noProof w:val="0"/>
          <w:sz w:val="24"/>
        </w:rPr>
      </w:pPr>
    </w:p>
    <w:p w14:paraId="5BC3523F" w14:textId="77777777" w:rsidR="0077317B" w:rsidRPr="00B266B0" w:rsidRDefault="0077317B" w:rsidP="00A209D6">
      <w:pPr>
        <w:pStyle w:val="Header"/>
        <w:rPr>
          <w:bCs/>
          <w:noProof w:val="0"/>
          <w:sz w:val="24"/>
        </w:rPr>
      </w:pPr>
    </w:p>
    <w:p w14:paraId="310B92C9" w14:textId="64A1678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1A87">
        <w:rPr>
          <w:rFonts w:cs="Arial"/>
          <w:b/>
          <w:bCs/>
          <w:sz w:val="24"/>
        </w:rPr>
        <w:t>7</w:t>
      </w:r>
      <w:r w:rsidR="000515F0">
        <w:rPr>
          <w:rFonts w:cs="Arial"/>
          <w:b/>
          <w:bCs/>
          <w:sz w:val="24"/>
          <w:lang w:eastAsia="ja-JP"/>
        </w:rPr>
        <w:t>.19</w:t>
      </w:r>
      <w:r w:rsidR="001727D8">
        <w:rPr>
          <w:rFonts w:cs="Arial"/>
          <w:b/>
          <w:bCs/>
          <w:sz w:val="24"/>
          <w:lang w:eastAsia="ja-JP"/>
        </w:rPr>
        <w:t>.3</w:t>
      </w:r>
    </w:p>
    <w:p w14:paraId="73188B46" w14:textId="68CB8E9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E756B4">
        <w:rPr>
          <w:rFonts w:ascii="Arial" w:hAnsi="Arial" w:cs="Arial"/>
          <w:b/>
          <w:bCs/>
          <w:sz w:val="24"/>
        </w:rPr>
        <w:t>, Ericsson, NTT DOCOMO, Intel, Semtech</w:t>
      </w:r>
      <w:r w:rsidR="0023079C">
        <w:rPr>
          <w:rFonts w:ascii="Arial" w:hAnsi="Arial" w:cs="Arial"/>
          <w:b/>
          <w:bCs/>
          <w:sz w:val="24"/>
        </w:rPr>
        <w:t>, BT</w:t>
      </w:r>
      <w:r w:rsidR="0019389A">
        <w:rPr>
          <w:rFonts w:ascii="Arial" w:hAnsi="Arial" w:cs="Arial"/>
          <w:b/>
          <w:bCs/>
          <w:sz w:val="24"/>
        </w:rPr>
        <w:t xml:space="preserve">, </w:t>
      </w:r>
      <w:r w:rsidR="0019389A" w:rsidRPr="0019389A">
        <w:rPr>
          <w:rFonts w:ascii="Arial" w:hAnsi="Arial" w:cs="Arial"/>
          <w:b/>
          <w:bCs/>
          <w:sz w:val="24"/>
        </w:rPr>
        <w:t>Deutsche Telekom</w:t>
      </w:r>
    </w:p>
    <w:p w14:paraId="553D264F" w14:textId="515B981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1A76" w:rsidRPr="00BF1A76">
        <w:rPr>
          <w:rFonts w:ascii="Arial" w:hAnsi="Arial" w:cs="Arial"/>
          <w:b/>
          <w:bCs/>
          <w:sz w:val="24"/>
        </w:rPr>
        <w:t xml:space="preserve">Discussion on bit rate and BW reduction </w:t>
      </w:r>
      <w:r w:rsidR="000515F0">
        <w:rPr>
          <w:rFonts w:ascii="Arial" w:hAnsi="Arial" w:cs="Arial"/>
          <w:b/>
          <w:bCs/>
          <w:sz w:val="24"/>
        </w:rPr>
        <w:t xml:space="preserve">for </w:t>
      </w:r>
      <w:r w:rsidR="00D82D77">
        <w:rPr>
          <w:rFonts w:ascii="Arial" w:hAnsi="Arial" w:cs="Arial"/>
          <w:b/>
          <w:bCs/>
          <w:sz w:val="24"/>
        </w:rPr>
        <w:t>e</w:t>
      </w:r>
      <w:r w:rsidR="000515F0">
        <w:rPr>
          <w:rFonts w:ascii="Arial" w:hAnsi="Arial" w:cs="Arial"/>
          <w:b/>
          <w:bCs/>
          <w:sz w:val="24"/>
        </w:rPr>
        <w:t>RedCap</w:t>
      </w:r>
    </w:p>
    <w:p w14:paraId="25F387E8" w14:textId="18C8F23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15F0" w:rsidRPr="000515F0">
        <w:rPr>
          <w:rFonts w:ascii="Arial" w:hAnsi="Arial" w:cs="Arial"/>
          <w:b/>
          <w:bCs/>
          <w:sz w:val="24"/>
        </w:rPr>
        <w:t xml:space="preserve">NR_redcap_enh-Core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8170FA" w14:textId="5CD7DB32" w:rsidR="0046304C" w:rsidRDefault="0046304C" w:rsidP="0046304C">
      <w:pPr>
        <w:rPr>
          <w:rFonts w:eastAsia="MS Mincho"/>
          <w:lang w:val="en-US" w:eastAsia="ja-JP"/>
        </w:rPr>
      </w:pPr>
    </w:p>
    <w:p w14:paraId="6000E5BA" w14:textId="0440C9DB" w:rsidR="0046304C" w:rsidRDefault="0046304C" w:rsidP="0046304C">
      <w:pPr>
        <w:rPr>
          <w:rFonts w:eastAsia="MS Mincho"/>
          <w:lang w:val="en-US" w:eastAsia="ja-JP"/>
        </w:rPr>
      </w:pPr>
      <w:r>
        <w:rPr>
          <w:rFonts w:eastAsia="MS Mincho"/>
          <w:lang w:val="en-US" w:eastAsia="ja-JP"/>
        </w:rPr>
        <w:t xml:space="preserve">The following </w:t>
      </w:r>
      <w:r w:rsidR="00BF1A76">
        <w:rPr>
          <w:rFonts w:eastAsia="MS Mincho"/>
          <w:lang w:val="en-US" w:eastAsia="ja-JP"/>
        </w:rPr>
        <w:t>WA</w:t>
      </w:r>
      <w:r>
        <w:rPr>
          <w:rFonts w:eastAsia="MS Mincho"/>
          <w:lang w:val="en-US" w:eastAsia="ja-JP"/>
        </w:rPr>
        <w:t xml:space="preserve"> </w:t>
      </w:r>
      <w:r w:rsidR="00BF1A76">
        <w:rPr>
          <w:rFonts w:eastAsia="MS Mincho"/>
          <w:lang w:val="en-US" w:eastAsia="ja-JP"/>
        </w:rPr>
        <w:t xml:space="preserve">was </w:t>
      </w:r>
      <w:r>
        <w:rPr>
          <w:rFonts w:eastAsia="MS Mincho"/>
          <w:lang w:val="en-US" w:eastAsia="ja-JP"/>
        </w:rPr>
        <w:t>agreed in RAN2#12</w:t>
      </w:r>
      <w:r w:rsidR="00BF1A76">
        <w:rPr>
          <w:rFonts w:eastAsia="MS Mincho"/>
          <w:lang w:val="en-US" w:eastAsia="ja-JP"/>
        </w:rPr>
        <w:t>3:</w:t>
      </w:r>
    </w:p>
    <w:p w14:paraId="4B9E8DAA" w14:textId="77777777" w:rsidR="00235A71" w:rsidRDefault="00235A71" w:rsidP="00235A71">
      <w:pPr>
        <w:pStyle w:val="Agreement"/>
      </w:pPr>
      <w:r>
        <w:t>Working assumption: No need to have separate cell barring for “eRedCap UE capable of 20MHz + PR1” and “eRedCap UE capable of BW3/PR3+ PR1”.</w:t>
      </w:r>
    </w:p>
    <w:p w14:paraId="4EBCCE9E" w14:textId="77777777" w:rsidR="007D49B4" w:rsidRPr="00235A71" w:rsidRDefault="007D49B4" w:rsidP="009339CB"/>
    <w:p w14:paraId="6C4E6517" w14:textId="06573012" w:rsidR="00E02BF1" w:rsidRDefault="00E02BF1" w:rsidP="009339CB">
      <w:pPr>
        <w:rPr>
          <w:lang w:val="en-US"/>
        </w:rPr>
      </w:pPr>
      <w:r>
        <w:rPr>
          <w:lang w:val="en-US"/>
        </w:rPr>
        <w:t xml:space="preserve">This TDoc discusses </w:t>
      </w:r>
      <w:r w:rsidR="00235A71">
        <w:rPr>
          <w:lang w:val="en-US"/>
        </w:rPr>
        <w:t xml:space="preserve">further </w:t>
      </w:r>
      <w:r>
        <w:rPr>
          <w:lang w:val="en-US"/>
        </w:rPr>
        <w:t xml:space="preserve">the need for </w:t>
      </w:r>
      <w:r w:rsidR="00051F26">
        <w:rPr>
          <w:lang w:val="en-US"/>
        </w:rPr>
        <w:t>access restrictions</w:t>
      </w:r>
      <w:r w:rsidR="0091193B">
        <w:rPr>
          <w:lang w:val="en-US"/>
        </w:rPr>
        <w:t xml:space="preserve"> for bit rate and BW reduced eRedCap UEs</w:t>
      </w:r>
      <w:r w:rsidR="00654EFF">
        <w:rPr>
          <w:lang w:val="en-US"/>
        </w:rPr>
        <w:t>.</w:t>
      </w:r>
    </w:p>
    <w:p w14:paraId="32929922" w14:textId="77777777" w:rsidR="0077317B" w:rsidRPr="00E02BF1" w:rsidRDefault="0077317B" w:rsidP="009339CB">
      <w:pPr>
        <w:rPr>
          <w:lang w:val="en-US"/>
        </w:rPr>
      </w:pPr>
    </w:p>
    <w:p w14:paraId="7D484B6E" w14:textId="064C4CCF" w:rsidR="009339CB" w:rsidRPr="006E13D1" w:rsidRDefault="009339CB" w:rsidP="009339CB">
      <w:pPr>
        <w:pStyle w:val="Heading1"/>
      </w:pPr>
      <w:r w:rsidRPr="006E13D1">
        <w:t>2</w:t>
      </w:r>
      <w:r w:rsidRPr="006E13D1">
        <w:tab/>
      </w:r>
      <w:r w:rsidR="00365152">
        <w:t>Background</w:t>
      </w:r>
    </w:p>
    <w:p w14:paraId="6BD80A93" w14:textId="77777777" w:rsidR="00365152" w:rsidRDefault="00365152" w:rsidP="00365152">
      <w:pPr>
        <w:jc w:val="both"/>
      </w:pPr>
    </w:p>
    <w:p w14:paraId="5A1A93B9" w14:textId="77777777" w:rsidR="00365152" w:rsidRDefault="00365152" w:rsidP="00365152">
      <w:pPr>
        <w:jc w:val="both"/>
      </w:pPr>
      <w:r>
        <w:t>In RAN #99, the following proposal was endorsed (RP-230778):</w:t>
      </w:r>
    </w:p>
    <w:tbl>
      <w:tblPr>
        <w:tblStyle w:val="TableGrid"/>
        <w:tblW w:w="0" w:type="auto"/>
        <w:tblInd w:w="284" w:type="dxa"/>
        <w:tblLook w:val="04A0" w:firstRow="1" w:lastRow="0" w:firstColumn="1" w:lastColumn="0" w:noHBand="0" w:noVBand="1"/>
      </w:tblPr>
      <w:tblGrid>
        <w:gridCol w:w="9271"/>
      </w:tblGrid>
      <w:tr w:rsidR="00365152" w14:paraId="54EC869A" w14:textId="77777777" w:rsidTr="00AA50E9">
        <w:tc>
          <w:tcPr>
            <w:tcW w:w="9271" w:type="dxa"/>
          </w:tcPr>
          <w:p w14:paraId="48A216D1" w14:textId="77777777" w:rsidR="00365152" w:rsidRDefault="00365152" w:rsidP="00AA50E9">
            <w:pPr>
              <w:rPr>
                <w:rFonts w:asciiTheme="minorHAnsi" w:hAnsiTheme="minorHAnsi"/>
                <w:b/>
                <w:bCs/>
                <w:szCs w:val="24"/>
              </w:rPr>
            </w:pPr>
            <w:r w:rsidRPr="00585DBE">
              <w:rPr>
                <w:rFonts w:hint="eastAsia"/>
                <w:b/>
                <w:bCs/>
                <w:szCs w:val="24"/>
              </w:rPr>
              <w:t xml:space="preserve">Rel-18 eRedCap UE capable of </w:t>
            </w:r>
            <w:bookmarkStart w:id="0" w:name="_Hlk131175250"/>
            <w:r w:rsidRPr="00585DBE">
              <w:rPr>
                <w:rFonts w:hint="eastAsia"/>
                <w:b/>
                <w:bCs/>
                <w:szCs w:val="24"/>
              </w:rPr>
              <w:t xml:space="preserve">20MHz + PR1 </w:t>
            </w:r>
            <w:bookmarkEnd w:id="0"/>
            <w:r w:rsidRPr="00585DBE">
              <w:rPr>
                <w:rFonts w:hint="eastAsia"/>
                <w:b/>
                <w:bCs/>
                <w:szCs w:val="24"/>
              </w:rPr>
              <w:t xml:space="preserve">and Rel-18 eRedCap UE capable of BW3/PR3 + PR1 are designed/targeted to same peak data rate, i.e., </w:t>
            </w:r>
            <w:proofErr w:type="gramStart"/>
            <w:r w:rsidRPr="00585DBE">
              <w:rPr>
                <w:rFonts w:hint="eastAsia"/>
                <w:b/>
                <w:bCs/>
                <w:szCs w:val="24"/>
              </w:rPr>
              <w:t>10Mbps</w:t>
            </w:r>
            <w:proofErr w:type="gramEnd"/>
          </w:p>
          <w:p w14:paraId="0D523E60" w14:textId="77777777" w:rsidR="00365152" w:rsidRDefault="00365152" w:rsidP="00AA50E9">
            <w:pPr>
              <w:rPr>
                <w:b/>
                <w:bCs/>
                <w:sz w:val="24"/>
                <w:szCs w:val="24"/>
                <w:highlight w:val="green"/>
              </w:rPr>
            </w:pPr>
          </w:p>
          <w:p w14:paraId="272F9250" w14:textId="77777777" w:rsidR="00365152" w:rsidRDefault="00365152" w:rsidP="00AA50E9">
            <w:pPr>
              <w:ind w:left="772" w:hangingChars="386" w:hanging="772"/>
              <w:rPr>
                <w:szCs w:val="24"/>
              </w:rPr>
            </w:pPr>
            <w:r>
              <w:rPr>
                <w:szCs w:val="24"/>
              </w:rPr>
              <w:t>Note 1: Peak data rate of "Rel-18 eRedCap: UE capable of 20MHz + PR1" and "Rel-18 eRedCap: UE capable of BW3/PR3 + PR1" is same including unicast and broadcast respectively.</w:t>
            </w:r>
          </w:p>
          <w:p w14:paraId="670CCBB2" w14:textId="77777777" w:rsidR="00365152" w:rsidRDefault="00365152" w:rsidP="00AA50E9">
            <w:pPr>
              <w:ind w:left="772" w:hangingChars="386" w:hanging="772"/>
              <w:rPr>
                <w:szCs w:val="24"/>
              </w:rPr>
            </w:pPr>
            <w:r>
              <w:rPr>
                <w:szCs w:val="24"/>
              </w:rPr>
              <w:t>Note 2: PRB processing capability of "Rel-18 eRedCap: UE capable of 20MHz + PR1" is not limited to "25 PRBs for 15 kHz SCS and 12 PRBs for 30 kHz SCS" and it corresponds to PRB size corresponding to 20 MHz.</w:t>
            </w:r>
          </w:p>
          <w:p w14:paraId="70EF5430" w14:textId="77777777" w:rsidR="00365152" w:rsidRDefault="00365152" w:rsidP="00AA50E9">
            <w:pPr>
              <w:ind w:left="772" w:hangingChars="386" w:hanging="772"/>
              <w:rPr>
                <w:szCs w:val="24"/>
              </w:rPr>
            </w:pPr>
            <w:r>
              <w:rPr>
                <w:szCs w:val="24"/>
              </w:rPr>
              <w:t>Note 3: The only difference between "Rel-18 eRedCap: UE capable of 20MHz + PR1" and "Rel-18 eRedCap: UE capable of BW3/PR3 + PR1" is Note 2 and </w:t>
            </w:r>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r>
              <w:rPr>
                <w:rFonts w:eastAsia="Microsoft YaHei UI"/>
                <w:b/>
                <w:bCs/>
                <w:color w:val="000000"/>
              </w:rPr>
              <w:t> </w:t>
            </w:r>
            <w:r>
              <w:rPr>
                <w:szCs w:val="24"/>
              </w:rPr>
              <w:t>  </w:t>
            </w:r>
            <w:proofErr w:type="gramStart"/>
            <w:r>
              <w:rPr>
                <w:szCs w:val="24"/>
              </w:rPr>
              <w:t>in order to</w:t>
            </w:r>
            <w:proofErr w:type="gramEnd"/>
            <w:r>
              <w:rPr>
                <w:szCs w:val="24"/>
              </w:rPr>
              <w:t xml:space="preserve"> have the same peak rate.</w:t>
            </w:r>
          </w:p>
          <w:p w14:paraId="287D9E30" w14:textId="77777777" w:rsidR="00365152" w:rsidRDefault="00365152" w:rsidP="00AA50E9">
            <w:pPr>
              <w:rPr>
                <w:szCs w:val="24"/>
              </w:rPr>
            </w:pPr>
            <w:r>
              <w:rPr>
                <w:szCs w:val="24"/>
              </w:rPr>
              <w:t>Note 4: The initial access procedure of Rel-18 eRedCap UE capable of 20MHz + PR1 is realized by following:</w:t>
            </w:r>
          </w:p>
          <w:p w14:paraId="762A6EE0" w14:textId="77777777" w:rsidR="00365152" w:rsidRPr="00711DE6" w:rsidRDefault="00365152" w:rsidP="00AA50E9">
            <w:pPr>
              <w:pStyle w:val="ListParagraph"/>
              <w:numPr>
                <w:ilvl w:val="0"/>
                <w:numId w:val="12"/>
              </w:numPr>
              <w:overflowPunct/>
              <w:autoSpaceDE/>
              <w:autoSpaceDN/>
              <w:adjustRightInd/>
              <w:spacing w:after="160" w:line="256" w:lineRule="auto"/>
              <w:textAlignment w:val="auto"/>
              <w:rPr>
                <w:szCs w:val="24"/>
              </w:rPr>
            </w:pPr>
            <w:r>
              <w:rPr>
                <w:szCs w:val="24"/>
              </w:rPr>
              <w:t xml:space="preserve">Same as Rel-18 eRedCap UE capable of </w:t>
            </w:r>
            <w:bookmarkStart w:id="1" w:name="_Hlk131175574"/>
            <w:r>
              <w:rPr>
                <w:szCs w:val="24"/>
              </w:rPr>
              <w:t>BW3/PR3 + PR1</w:t>
            </w:r>
            <w:bookmarkEnd w:id="1"/>
          </w:p>
        </w:tc>
      </w:tr>
    </w:tbl>
    <w:p w14:paraId="10F4AC46" w14:textId="77777777" w:rsidR="00365152" w:rsidRDefault="00365152" w:rsidP="00365152">
      <w:pPr>
        <w:ind w:left="284"/>
        <w:jc w:val="both"/>
      </w:pPr>
    </w:p>
    <w:p w14:paraId="3EE4AABA" w14:textId="77777777" w:rsidR="00E814C6" w:rsidRDefault="00E814C6" w:rsidP="00365152">
      <w:pPr>
        <w:ind w:left="284"/>
        <w:jc w:val="both"/>
      </w:pPr>
    </w:p>
    <w:p w14:paraId="5F4A92B2" w14:textId="77777777" w:rsidR="00E814C6" w:rsidRDefault="00E814C6" w:rsidP="00365152">
      <w:pPr>
        <w:ind w:left="284"/>
        <w:jc w:val="both"/>
      </w:pPr>
    </w:p>
    <w:p w14:paraId="22CE90F6" w14:textId="77777777" w:rsidR="00456F79" w:rsidRDefault="00456F79" w:rsidP="00365152">
      <w:pPr>
        <w:ind w:left="284"/>
        <w:jc w:val="both"/>
      </w:pPr>
    </w:p>
    <w:p w14:paraId="1581A33E" w14:textId="76996EC8" w:rsidR="00365152" w:rsidRDefault="00365152" w:rsidP="00365152">
      <w:pPr>
        <w:jc w:val="both"/>
      </w:pPr>
      <w:r>
        <w:lastRenderedPageBreak/>
        <w:t>Thus, based on the endorsed proposal in RAN #99, a Rel-18 enhanced RedCap (eRedCap) UE may have one of the following two capabilities:</w:t>
      </w:r>
    </w:p>
    <w:p w14:paraId="296042A3" w14:textId="77777777" w:rsidR="00365152" w:rsidRDefault="00365152" w:rsidP="00365152">
      <w:pPr>
        <w:pStyle w:val="ListParagraph"/>
        <w:numPr>
          <w:ilvl w:val="0"/>
          <w:numId w:val="13"/>
        </w:numPr>
        <w:overflowPunct/>
        <w:autoSpaceDE/>
        <w:autoSpaceDN/>
        <w:adjustRightInd/>
        <w:spacing w:after="0"/>
        <w:ind w:left="720"/>
        <w:jc w:val="both"/>
        <w:textAlignment w:val="auto"/>
      </w:pPr>
      <w:r w:rsidRPr="00711DE6">
        <w:t>20</w:t>
      </w:r>
      <w:r>
        <w:t xml:space="preserve"> </w:t>
      </w:r>
      <w:r w:rsidRPr="00711DE6">
        <w:t>MHz + PR1</w:t>
      </w:r>
      <w:r>
        <w:t>:</w:t>
      </w:r>
    </w:p>
    <w:p w14:paraId="6CE93B22" w14:textId="77777777" w:rsidR="00365152" w:rsidRDefault="00365152" w:rsidP="00365152">
      <w:pPr>
        <w:pStyle w:val="ListParagraph"/>
        <w:numPr>
          <w:ilvl w:val="0"/>
          <w:numId w:val="14"/>
        </w:numPr>
        <w:overflowPunct/>
        <w:autoSpaceDE/>
        <w:autoSpaceDN/>
        <w:adjustRightInd/>
        <w:spacing w:after="0"/>
        <w:jc w:val="both"/>
        <w:textAlignment w:val="auto"/>
      </w:pPr>
      <w:r>
        <w:t xml:space="preserve"> A Rel-18 eRedCap UE with this capability has an RF and baseband bandwidth of 20 MHz, which is the same as that of the Rel-17 RedCap UE, but it implements peak rate reduction to 10 Mbps through relaxation of the constraint </w:t>
      </w:r>
      <w:r w:rsidRPr="00FD2E09">
        <w:rPr>
          <w:rFonts w:cs="Arial"/>
        </w:rPr>
        <w:t>(</w:t>
      </w:r>
      <w:r w:rsidRPr="00FD2E09">
        <w:rPr>
          <w:rFonts w:cs="Arial"/>
          <w:i/>
          <w:iCs/>
        </w:rPr>
        <w:t>v</w:t>
      </w:r>
      <w:r w:rsidRPr="00FD2E09">
        <w:rPr>
          <w:rFonts w:cs="Arial"/>
          <w:i/>
          <w:iCs/>
          <w:vertAlign w:val="subscript"/>
        </w:rPr>
        <w:t>Layers</w:t>
      </w:r>
      <w:r w:rsidRPr="00FD2E09">
        <w:rPr>
          <w:rFonts w:cs="Arial"/>
        </w:rPr>
        <w:t>·</w:t>
      </w:r>
      <w:r w:rsidRPr="00FD2E09">
        <w:rPr>
          <w:rFonts w:cs="Arial"/>
          <w:i/>
          <w:iCs/>
        </w:rPr>
        <w:t>Q</w:t>
      </w:r>
      <w:r w:rsidRPr="00FD2E09">
        <w:rPr>
          <w:rFonts w:cs="Arial"/>
          <w:i/>
          <w:iCs/>
          <w:vertAlign w:val="subscript"/>
        </w:rPr>
        <w:t>m</w:t>
      </w:r>
      <w:r w:rsidRPr="00FD2E09">
        <w:rPr>
          <w:rFonts w:cs="Arial"/>
        </w:rPr>
        <w:t>·</w:t>
      </w:r>
      <w:r w:rsidRPr="00FD2E09">
        <w:rPr>
          <w:rFonts w:cs="Arial"/>
          <w:i/>
          <w:iCs/>
        </w:rPr>
        <w:t>f</w:t>
      </w:r>
      <w:r w:rsidRPr="00FD2E09">
        <w:rPr>
          <w:rFonts w:cs="Arial"/>
        </w:rPr>
        <w:t xml:space="preserve"> ≥ 4)</w:t>
      </w:r>
      <w:r>
        <w:t>.</w:t>
      </w:r>
    </w:p>
    <w:p w14:paraId="4A8E71F9" w14:textId="77777777" w:rsidR="00365152" w:rsidRDefault="00365152" w:rsidP="00365152">
      <w:pPr>
        <w:pStyle w:val="ListParagraph"/>
        <w:numPr>
          <w:ilvl w:val="0"/>
          <w:numId w:val="13"/>
        </w:numPr>
        <w:overflowPunct/>
        <w:autoSpaceDE/>
        <w:autoSpaceDN/>
        <w:adjustRightInd/>
        <w:spacing w:after="0"/>
        <w:ind w:left="720"/>
        <w:jc w:val="both"/>
        <w:textAlignment w:val="auto"/>
      </w:pPr>
      <w:r w:rsidRPr="00F73976">
        <w:t>BW3/PR3 + PR1</w:t>
      </w:r>
      <w:r>
        <w:t>:</w:t>
      </w:r>
    </w:p>
    <w:p w14:paraId="55B74994" w14:textId="77777777" w:rsidR="00365152" w:rsidRDefault="00365152" w:rsidP="00365152">
      <w:pPr>
        <w:pStyle w:val="ListParagraph"/>
        <w:numPr>
          <w:ilvl w:val="0"/>
          <w:numId w:val="14"/>
        </w:numPr>
        <w:overflowPunct/>
        <w:autoSpaceDE/>
        <w:autoSpaceDN/>
        <w:adjustRightInd/>
        <w:spacing w:after="0"/>
        <w:jc w:val="both"/>
        <w:textAlignment w:val="auto"/>
      </w:pPr>
      <w:r>
        <w:t xml:space="preserve">A Rel-18 eRedCap UE with this capability has an RF bandwidth of 20 MHz (the same as that of a Rel-17 RedCap UE) but a reduced baseband bandwidth of 5 MHz only for PDSCH and PUSCH through restricting the number of PRBs. Additionally, the UE also implements UE peak rate reduction 10 Mbps through relaxation of the constraint </w:t>
      </w:r>
      <w:r w:rsidRPr="00FD2E09">
        <w:rPr>
          <w:rFonts w:cs="Arial"/>
        </w:rPr>
        <w:t>(</w:t>
      </w:r>
      <w:r w:rsidRPr="00FD2E09">
        <w:rPr>
          <w:rFonts w:cs="Arial"/>
          <w:i/>
          <w:iCs/>
        </w:rPr>
        <w:t>v</w:t>
      </w:r>
      <w:r w:rsidRPr="00FD2E09">
        <w:rPr>
          <w:rFonts w:cs="Arial"/>
          <w:i/>
          <w:iCs/>
          <w:vertAlign w:val="subscript"/>
        </w:rPr>
        <w:t>Layers</w:t>
      </w:r>
      <w:r w:rsidRPr="00FD2E09">
        <w:rPr>
          <w:rFonts w:cs="Arial"/>
        </w:rPr>
        <w:t>·</w:t>
      </w:r>
      <w:r w:rsidRPr="00FD2E09">
        <w:rPr>
          <w:rFonts w:cs="Arial"/>
          <w:i/>
          <w:iCs/>
        </w:rPr>
        <w:t>Q</w:t>
      </w:r>
      <w:r w:rsidRPr="00FD2E09">
        <w:rPr>
          <w:rFonts w:cs="Arial"/>
          <w:i/>
          <w:iCs/>
          <w:vertAlign w:val="subscript"/>
        </w:rPr>
        <w:t>m</w:t>
      </w:r>
      <w:r w:rsidRPr="00FD2E09">
        <w:rPr>
          <w:rFonts w:cs="Arial"/>
        </w:rPr>
        <w:t>·</w:t>
      </w:r>
      <w:r w:rsidRPr="00FD2E09">
        <w:rPr>
          <w:rFonts w:cs="Arial"/>
          <w:i/>
          <w:iCs/>
        </w:rPr>
        <w:t>f</w:t>
      </w:r>
      <w:r w:rsidRPr="00FD2E09">
        <w:rPr>
          <w:rFonts w:cs="Arial"/>
        </w:rPr>
        <w:t xml:space="preserve"> ≥ 4)</w:t>
      </w:r>
      <w:r>
        <w:t>.</w:t>
      </w:r>
    </w:p>
    <w:p w14:paraId="77E44264" w14:textId="77777777" w:rsidR="0091193B" w:rsidRDefault="0091193B" w:rsidP="00585DBE">
      <w:pPr>
        <w:jc w:val="both"/>
      </w:pPr>
    </w:p>
    <w:p w14:paraId="2DA0BC85" w14:textId="5F858A65" w:rsidR="00365152" w:rsidRPr="006E13D1" w:rsidRDefault="00365152" w:rsidP="00365152">
      <w:pPr>
        <w:pStyle w:val="Heading1"/>
      </w:pPr>
      <w:r>
        <w:t>3</w:t>
      </w:r>
      <w:r w:rsidRPr="006E13D1">
        <w:tab/>
      </w:r>
      <w:r w:rsidRPr="002F2765">
        <w:t>Potential for interoperability problems</w:t>
      </w:r>
    </w:p>
    <w:p w14:paraId="7DD6F17B" w14:textId="77777777" w:rsidR="0091193B" w:rsidRDefault="0091193B" w:rsidP="00585DBE">
      <w:pPr>
        <w:jc w:val="both"/>
      </w:pPr>
    </w:p>
    <w:p w14:paraId="3EC04CC1" w14:textId="7D187A79" w:rsidR="00365152" w:rsidRDefault="00365152" w:rsidP="000F6C21">
      <w:pPr>
        <w:jc w:val="both"/>
      </w:pPr>
      <w:r>
        <w:t xml:space="preserve">The discussion here relates to </w:t>
      </w:r>
      <w:r w:rsidRPr="002F2765">
        <w:t>“eRedCap UE capable of 20MHz + PR1” and “eRedCap UE capable of BW3/PR3+ PR1”</w:t>
      </w:r>
      <w:r>
        <w:t xml:space="preserve"> for which proper testing may not be available during the time of the initial eRedCap deployments, since </w:t>
      </w:r>
      <w:r w:rsidRPr="0006083D">
        <w:rPr>
          <w:rFonts w:eastAsia="MS Mincho"/>
          <w:lang w:val="en-US" w:eastAsia="ja-JP"/>
        </w:rPr>
        <w:t xml:space="preserve">UE capability has been agreed for both BW reduction and peak rate reduction </w:t>
      </w:r>
      <w:proofErr w:type="gramStart"/>
      <w:r w:rsidRPr="0006083D">
        <w:rPr>
          <w:rFonts w:eastAsia="MS Mincho"/>
          <w:lang w:val="en-US" w:eastAsia="ja-JP"/>
        </w:rPr>
        <w:t>i.e.</w:t>
      </w:r>
      <w:proofErr w:type="gramEnd"/>
      <w:r w:rsidRPr="0006083D">
        <w:rPr>
          <w:rFonts w:eastAsia="MS Mincho"/>
          <w:lang w:val="en-US" w:eastAsia="ja-JP"/>
        </w:rPr>
        <w:t xml:space="preserve"> both are optional for the UE to implement. RAN2 working assumption means that NW supporting REL-18 eRedCap is mandated to implement and allow both BW reduction and peak rate reduction devices on the cell although simultaneous IOT cannot be guaranteed, since both features are optional for the eRedCap UE to implement.</w:t>
      </w:r>
      <w:r w:rsidR="000F6C21">
        <w:rPr>
          <w:rFonts w:eastAsia="MS Mincho"/>
          <w:lang w:val="en-US" w:eastAsia="ja-JP"/>
        </w:rPr>
        <w:t xml:space="preserve"> </w:t>
      </w:r>
      <w:r w:rsidRPr="0006083D">
        <w:rPr>
          <w:rFonts w:eastAsia="MS Mincho"/>
          <w:lang w:val="en-US" w:eastAsia="ja-JP"/>
        </w:rPr>
        <w:t>It is possible that not both features are necessarily implemented at the same time for UEs.</w:t>
      </w:r>
      <w:r>
        <w:rPr>
          <w:rFonts w:eastAsia="MS Mincho"/>
          <w:lang w:val="en-US" w:eastAsia="ja-JP"/>
        </w:rPr>
        <w:t xml:space="preserve"> </w:t>
      </w:r>
      <w:r w:rsidRPr="0006083D">
        <w:rPr>
          <w:rFonts w:eastAsia="MS Mincho"/>
          <w:lang w:val="en-US" w:eastAsia="ja-JP"/>
        </w:rPr>
        <w:t>Also, the NW may want to implement the BW reduction different time than peak rate reduction.</w:t>
      </w:r>
      <w:r>
        <w:rPr>
          <w:rFonts w:eastAsia="MS Mincho"/>
          <w:lang w:val="en-US" w:eastAsia="ja-JP"/>
        </w:rPr>
        <w:t xml:space="preserve"> </w:t>
      </w:r>
      <w:r>
        <w:t xml:space="preserve">Even if RAN5 defines conformance tests for </w:t>
      </w:r>
      <w:proofErr w:type="gramStart"/>
      <w:r>
        <w:t>both of these</w:t>
      </w:r>
      <w:proofErr w:type="gramEnd"/>
      <w:r>
        <w:t xml:space="preserve"> features later on, it is possible that conformance tests for these features will not be available at the same time. </w:t>
      </w:r>
      <w:proofErr w:type="gramStart"/>
      <w:r>
        <w:t>Th</w:t>
      </w:r>
      <w:r w:rsidRPr="0094478E">
        <w:t>erefore</w:t>
      </w:r>
      <w:proofErr w:type="gramEnd"/>
      <w:r w:rsidRPr="0094478E">
        <w:t xml:space="preserve"> </w:t>
      </w:r>
      <w:r>
        <w:t xml:space="preserve">it is unlikely that </w:t>
      </w:r>
      <w:r w:rsidR="00A27DF5">
        <w:t xml:space="preserve">both of </w:t>
      </w:r>
      <w:r>
        <w:t>these features will have undergone sufficient, if any, interoperability testing before the first eRedCap UEs start shipping. The lack of conformance test coverage and IOT introduces a high risk of interoperability problems also for legacy UEs in the field if these features are later enabled by networks. This risk should be minimized. Therefore</w:t>
      </w:r>
      <w:r w:rsidR="00A27DF5">
        <w:t xml:space="preserve">, </w:t>
      </w:r>
      <w:r>
        <w:t>we propose</w:t>
      </w:r>
      <w:r w:rsidR="00E814C6">
        <w:t xml:space="preserve"> to revert the RAN2 working assumption</w:t>
      </w:r>
      <w:r>
        <w:t>:</w:t>
      </w:r>
    </w:p>
    <w:p w14:paraId="724D63AC" w14:textId="2E2AC23E" w:rsidR="00365152" w:rsidRDefault="00365152" w:rsidP="00365152">
      <w:pPr>
        <w:jc w:val="both"/>
        <w:rPr>
          <w:rFonts w:eastAsia="MS Mincho"/>
          <w:b/>
          <w:bCs/>
          <w:lang w:val="en-US" w:eastAsia="ja-JP"/>
        </w:rPr>
      </w:pPr>
      <w:r w:rsidRPr="0006083D">
        <w:rPr>
          <w:rFonts w:eastAsia="MS Mincho"/>
          <w:b/>
          <w:bCs/>
          <w:lang w:val="en-US" w:eastAsia="ja-JP"/>
        </w:rPr>
        <w:t xml:space="preserve">Proposal 1: </w:t>
      </w:r>
      <w:r w:rsidR="00456F79">
        <w:rPr>
          <w:rFonts w:eastAsia="MS Mincho"/>
          <w:b/>
          <w:bCs/>
          <w:lang w:val="en-US" w:eastAsia="ja-JP"/>
        </w:rPr>
        <w:t xml:space="preserve">RAN WA is reversed to: </w:t>
      </w:r>
      <w:r w:rsidRPr="0006083D">
        <w:rPr>
          <w:rFonts w:eastAsia="MS Mincho"/>
          <w:b/>
          <w:bCs/>
          <w:lang w:val="en-US" w:eastAsia="ja-JP"/>
        </w:rPr>
        <w:t>NW can separately allow/disallow “eRedCap UE capable of 20MHz + PR1” and “eRedCap UE capable of BW3/PR3+ PR1”</w:t>
      </w:r>
      <w:r>
        <w:rPr>
          <w:rFonts w:eastAsia="MS Mincho"/>
          <w:b/>
          <w:bCs/>
          <w:lang w:val="en-US" w:eastAsia="ja-JP"/>
        </w:rPr>
        <w:t xml:space="preserve"> </w:t>
      </w:r>
      <w:r w:rsidRPr="0006083D">
        <w:rPr>
          <w:rFonts w:eastAsia="MS Mincho"/>
          <w:b/>
          <w:bCs/>
          <w:lang w:val="en-US" w:eastAsia="ja-JP"/>
        </w:rPr>
        <w:t>devices</w:t>
      </w:r>
      <w:r w:rsidR="00456F79">
        <w:rPr>
          <w:rFonts w:eastAsia="MS Mincho"/>
          <w:b/>
          <w:bCs/>
          <w:lang w:val="en-US" w:eastAsia="ja-JP"/>
        </w:rPr>
        <w:t xml:space="preserve"> with system </w:t>
      </w:r>
      <w:proofErr w:type="gramStart"/>
      <w:r w:rsidR="00456F79">
        <w:rPr>
          <w:rFonts w:eastAsia="MS Mincho"/>
          <w:b/>
          <w:bCs/>
          <w:lang w:val="en-US" w:eastAsia="ja-JP"/>
        </w:rPr>
        <w:t>information</w:t>
      </w:r>
      <w:proofErr w:type="gramEnd"/>
    </w:p>
    <w:p w14:paraId="75250235" w14:textId="30972880" w:rsidR="00A3645C" w:rsidRDefault="0023079C" w:rsidP="00365152">
      <w:pPr>
        <w:jc w:val="both"/>
      </w:pPr>
      <w:r w:rsidRPr="0019389A">
        <w:t xml:space="preserve">As agreed in the RAN plenary UEs that support both UE peak data rate reduction and UE BB bandwidth reduction are supposed to use the same initial access procedure as UEs that only support UE peak data rate reduction. </w:t>
      </w:r>
      <w:r>
        <w:t>Above</w:t>
      </w:r>
      <w:r w:rsidRPr="0019389A">
        <w:t xml:space="preserve"> proposal does not intend to change/revise that agreement</w:t>
      </w:r>
      <w:r>
        <w:t>, because both device types can be allowed simultaneously by the network</w:t>
      </w:r>
      <w:r w:rsidRPr="0019389A">
        <w:t xml:space="preserve">. If both types are allowed, the network </w:t>
      </w:r>
      <w:r>
        <w:t xml:space="preserve">needs to schedule the UE assuming the worst case </w:t>
      </w:r>
      <w:r w:rsidRPr="0019389A">
        <w:t xml:space="preserve">i.e., it needs to treat the </w:t>
      </w:r>
      <w:r w:rsidR="007D5F25">
        <w:t>UE</w:t>
      </w:r>
      <w:r w:rsidRPr="0019389A">
        <w:t xml:space="preserve"> as if it is a BB BW reduction until it finds out </w:t>
      </w:r>
      <w:proofErr w:type="gramStart"/>
      <w:r w:rsidRPr="0019389A">
        <w:t>later on</w:t>
      </w:r>
      <w:proofErr w:type="gramEnd"/>
      <w:r w:rsidRPr="0019389A">
        <w:t xml:space="preserve"> which one it is based on the </w:t>
      </w:r>
      <w:r w:rsidR="007D5F25">
        <w:t xml:space="preserve">UE </w:t>
      </w:r>
      <w:r w:rsidRPr="0019389A">
        <w:t xml:space="preserve">capability information. </w:t>
      </w:r>
    </w:p>
    <w:p w14:paraId="47279847" w14:textId="77777777" w:rsidR="0023079C" w:rsidRPr="0019389A" w:rsidRDefault="0023079C" w:rsidP="00365152">
      <w:pPr>
        <w:jc w:val="both"/>
      </w:pPr>
    </w:p>
    <w:p w14:paraId="22B4AE01" w14:textId="2E5CFCAB" w:rsidR="00A3645C" w:rsidRPr="0019389A" w:rsidRDefault="00A3645C" w:rsidP="00365152">
      <w:pPr>
        <w:jc w:val="both"/>
      </w:pPr>
      <w:r w:rsidRPr="0019389A">
        <w:t>The following was agreed in RAN2#123:</w:t>
      </w:r>
    </w:p>
    <w:p w14:paraId="3530C8E5" w14:textId="77777777" w:rsidR="00A3645C" w:rsidRDefault="00A3645C" w:rsidP="00365152">
      <w:pPr>
        <w:jc w:val="both"/>
        <w:rPr>
          <w:b/>
          <w:bCs/>
        </w:rPr>
      </w:pPr>
    </w:p>
    <w:p w14:paraId="76D4EB1B" w14:textId="77777777" w:rsidR="00A3645C" w:rsidRDefault="00A3645C" w:rsidP="00A3645C">
      <w:pPr>
        <w:pStyle w:val="Agreement"/>
      </w:pPr>
      <w:r>
        <w:t>Network should ensure the target gNB supports/allows eRedcap UE, in the handover of eRedCap UE.</w:t>
      </w:r>
    </w:p>
    <w:p w14:paraId="7BBD1005" w14:textId="77777777" w:rsidR="00A3645C" w:rsidRPr="0006083D" w:rsidRDefault="00A3645C" w:rsidP="00365152">
      <w:pPr>
        <w:jc w:val="both"/>
        <w:rPr>
          <w:b/>
          <w:bCs/>
        </w:rPr>
      </w:pPr>
    </w:p>
    <w:p w14:paraId="77D691D1" w14:textId="4EA4115C" w:rsidR="0091193B" w:rsidRDefault="00A3645C" w:rsidP="00585DBE">
      <w:pPr>
        <w:jc w:val="both"/>
      </w:pPr>
      <w:proofErr w:type="gramStart"/>
      <w:r>
        <w:t>Assuming that</w:t>
      </w:r>
      <w:proofErr w:type="gramEnd"/>
      <w:r>
        <w:t xml:space="preserve"> RAN2 agrees that </w:t>
      </w:r>
      <w:r w:rsidRPr="00A3645C">
        <w:t xml:space="preserve">NW can separately allow/disallow </w:t>
      </w:r>
      <w:bookmarkStart w:id="2" w:name="_Hlk146536397"/>
      <w:r w:rsidRPr="00A3645C">
        <w:t>“eRedCap UE capable of 20MHz + PR1” and “eRedCap UE capable of BW3/PR3+ PR1”</w:t>
      </w:r>
      <w:bookmarkEnd w:id="2"/>
      <w:r>
        <w:t xml:space="preserve"> the same needs to be handled also in Xn for the handover procedure:</w:t>
      </w:r>
    </w:p>
    <w:p w14:paraId="07212BAC" w14:textId="355A82F7" w:rsidR="00A403BF" w:rsidRPr="008911A2" w:rsidRDefault="00A3645C" w:rsidP="00A3645C">
      <w:pPr>
        <w:jc w:val="both"/>
        <w:rPr>
          <w:rFonts w:eastAsia="MS Mincho"/>
          <w:b/>
          <w:bCs/>
          <w:lang w:val="en-US" w:eastAsia="ja-JP"/>
        </w:rPr>
      </w:pPr>
      <w:r w:rsidRPr="008911A2">
        <w:rPr>
          <w:rFonts w:eastAsia="MS Mincho"/>
          <w:b/>
          <w:bCs/>
          <w:lang w:val="en-US" w:eastAsia="ja-JP"/>
        </w:rPr>
        <w:t xml:space="preserve">Proposal 2: </w:t>
      </w:r>
      <w:r w:rsidR="00A403BF" w:rsidRPr="0019389A">
        <w:rPr>
          <w:b/>
          <w:bCs/>
        </w:rPr>
        <w:t xml:space="preserve">Network should ensure the target gNB supports/allows </w:t>
      </w:r>
      <w:r w:rsidR="008911A2" w:rsidRPr="0019389A">
        <w:rPr>
          <w:b/>
          <w:bCs/>
        </w:rPr>
        <w:t>“eRedCap UE capable of 20MHz + PR1” and/or “eRedCap UE capable of BW3/PR3+ PR1”</w:t>
      </w:r>
      <w:r w:rsidR="00A403BF" w:rsidRPr="0019389A">
        <w:rPr>
          <w:b/>
          <w:bCs/>
        </w:rPr>
        <w:t xml:space="preserve">, in the handover of eRedCap </w:t>
      </w:r>
      <w:proofErr w:type="gramStart"/>
      <w:r w:rsidR="00A403BF" w:rsidRPr="0019389A">
        <w:rPr>
          <w:b/>
          <w:bCs/>
        </w:rPr>
        <w:t>UE</w:t>
      </w:r>
      <w:proofErr w:type="gramEnd"/>
    </w:p>
    <w:p w14:paraId="23879A5C" w14:textId="77777777" w:rsidR="00CA61F3" w:rsidRDefault="00CA61F3" w:rsidP="009339CB"/>
    <w:p w14:paraId="68E1584A" w14:textId="77777777" w:rsidR="0019389A" w:rsidRPr="00CA61F3" w:rsidRDefault="0019389A" w:rsidP="009339CB"/>
    <w:p w14:paraId="69B7B8E6" w14:textId="445C5C44" w:rsidR="009339CB" w:rsidRDefault="005A13AB" w:rsidP="009339CB">
      <w:pPr>
        <w:pStyle w:val="Heading1"/>
      </w:pPr>
      <w:r>
        <w:lastRenderedPageBreak/>
        <w:t>3</w:t>
      </w:r>
      <w:r w:rsidR="009339CB" w:rsidRPr="006E13D1">
        <w:tab/>
      </w:r>
      <w:r w:rsidR="009339CB">
        <w:t>Conclusion</w:t>
      </w:r>
    </w:p>
    <w:p w14:paraId="2DCD5FBF" w14:textId="5CC05B10" w:rsidR="002932F5" w:rsidRPr="002932F5" w:rsidRDefault="002932F5" w:rsidP="000118E1">
      <w:r w:rsidRPr="002932F5">
        <w:t>Based on the discussion following is proposed:</w:t>
      </w:r>
    </w:p>
    <w:p w14:paraId="4A6F8593" w14:textId="77777777" w:rsidR="00456F79" w:rsidRDefault="00456F79" w:rsidP="00456F79">
      <w:pPr>
        <w:jc w:val="both"/>
        <w:rPr>
          <w:rFonts w:eastAsia="MS Mincho"/>
          <w:b/>
          <w:bCs/>
          <w:lang w:val="en-US" w:eastAsia="ja-JP"/>
        </w:rPr>
      </w:pPr>
      <w:r w:rsidRPr="0006083D">
        <w:rPr>
          <w:rFonts w:eastAsia="MS Mincho"/>
          <w:b/>
          <w:bCs/>
          <w:lang w:val="en-US" w:eastAsia="ja-JP"/>
        </w:rPr>
        <w:t xml:space="preserve">Proposal 1: </w:t>
      </w:r>
      <w:r>
        <w:rPr>
          <w:rFonts w:eastAsia="MS Mincho"/>
          <w:b/>
          <w:bCs/>
          <w:lang w:val="en-US" w:eastAsia="ja-JP"/>
        </w:rPr>
        <w:t xml:space="preserve">RAN WA is reversed to: </w:t>
      </w:r>
      <w:r w:rsidRPr="0006083D">
        <w:rPr>
          <w:rFonts w:eastAsia="MS Mincho"/>
          <w:b/>
          <w:bCs/>
          <w:lang w:val="en-US" w:eastAsia="ja-JP"/>
        </w:rPr>
        <w:t>NW can separately allow/disallow “eRedCap UE capable of 20MHz + PR1” and “eRedCap UE capable of BW3/PR3+ PR1”</w:t>
      </w:r>
      <w:r>
        <w:rPr>
          <w:rFonts w:eastAsia="MS Mincho"/>
          <w:b/>
          <w:bCs/>
          <w:lang w:val="en-US" w:eastAsia="ja-JP"/>
        </w:rPr>
        <w:t xml:space="preserve"> </w:t>
      </w:r>
      <w:r w:rsidRPr="0006083D">
        <w:rPr>
          <w:rFonts w:eastAsia="MS Mincho"/>
          <w:b/>
          <w:bCs/>
          <w:lang w:val="en-US" w:eastAsia="ja-JP"/>
        </w:rPr>
        <w:t>devices</w:t>
      </w:r>
      <w:r>
        <w:rPr>
          <w:rFonts w:eastAsia="MS Mincho"/>
          <w:b/>
          <w:bCs/>
          <w:lang w:val="en-US" w:eastAsia="ja-JP"/>
        </w:rPr>
        <w:t xml:space="preserve"> with system </w:t>
      </w:r>
      <w:proofErr w:type="gramStart"/>
      <w:r>
        <w:rPr>
          <w:rFonts w:eastAsia="MS Mincho"/>
          <w:b/>
          <w:bCs/>
          <w:lang w:val="en-US" w:eastAsia="ja-JP"/>
        </w:rPr>
        <w:t>information</w:t>
      </w:r>
      <w:proofErr w:type="gramEnd"/>
    </w:p>
    <w:p w14:paraId="1CFA0844" w14:textId="77777777" w:rsidR="008911A2" w:rsidRPr="008911A2" w:rsidRDefault="008911A2" w:rsidP="008911A2">
      <w:pPr>
        <w:jc w:val="both"/>
        <w:rPr>
          <w:rFonts w:eastAsia="MS Mincho"/>
          <w:b/>
          <w:bCs/>
          <w:lang w:val="en-US" w:eastAsia="ja-JP"/>
        </w:rPr>
      </w:pPr>
      <w:r w:rsidRPr="008911A2">
        <w:rPr>
          <w:rFonts w:eastAsia="MS Mincho"/>
          <w:b/>
          <w:bCs/>
          <w:lang w:val="en-US" w:eastAsia="ja-JP"/>
        </w:rPr>
        <w:t xml:space="preserve">Proposal 2: </w:t>
      </w:r>
      <w:r w:rsidRPr="00371350">
        <w:rPr>
          <w:b/>
          <w:bCs/>
        </w:rPr>
        <w:t xml:space="preserve">Network should ensure the target gNB supports/allows “eRedCap UE capable of 20MHz + PR1” and/or “eRedCap UE capable of BW3/PR3+ PR1”, in the handover of eRedCap </w:t>
      </w:r>
      <w:proofErr w:type="gramStart"/>
      <w:r w:rsidRPr="00371350">
        <w:rPr>
          <w:b/>
          <w:bCs/>
        </w:rPr>
        <w:t>UE</w:t>
      </w:r>
      <w:proofErr w:type="gramEnd"/>
    </w:p>
    <w:p w14:paraId="6F0BDA36" w14:textId="77777777" w:rsidR="008911A2" w:rsidRPr="0006083D" w:rsidRDefault="008911A2" w:rsidP="00456F79">
      <w:pPr>
        <w:jc w:val="both"/>
        <w:rPr>
          <w:b/>
          <w:bCs/>
        </w:rPr>
      </w:pPr>
    </w:p>
    <w:p w14:paraId="264C6636" w14:textId="77777777" w:rsidR="000118E1" w:rsidRPr="000118E1" w:rsidRDefault="000118E1" w:rsidP="000118E1"/>
    <w:sectPr w:rsidR="000118E1" w:rsidRPr="000118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A5ABB"/>
    <w:multiLevelType w:val="hybridMultilevel"/>
    <w:tmpl w:val="4C282DBA"/>
    <w:lvl w:ilvl="0" w:tplc="040B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862CE0"/>
    <w:multiLevelType w:val="hybridMultilevel"/>
    <w:tmpl w:val="65529BDE"/>
    <w:lvl w:ilvl="0" w:tplc="FCC23BAA">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81F65"/>
    <w:multiLevelType w:val="hybridMultilevel"/>
    <w:tmpl w:val="1786C0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F4E71AE"/>
    <w:multiLevelType w:val="hybridMultilevel"/>
    <w:tmpl w:val="F05483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6244F78"/>
    <w:multiLevelType w:val="hybridMultilevel"/>
    <w:tmpl w:val="45682AC4"/>
    <w:lvl w:ilvl="0" w:tplc="E88248C0">
      <w:start w:val="1"/>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55249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58478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819811">
    <w:abstractNumId w:val="1"/>
  </w:num>
  <w:num w:numId="4" w16cid:durableId="1577935157">
    <w:abstractNumId w:val="6"/>
  </w:num>
  <w:num w:numId="5" w16cid:durableId="202257151">
    <w:abstractNumId w:val="4"/>
  </w:num>
  <w:num w:numId="6" w16cid:durableId="226301580">
    <w:abstractNumId w:val="7"/>
  </w:num>
  <w:num w:numId="7" w16cid:durableId="769738797">
    <w:abstractNumId w:val="8"/>
  </w:num>
  <w:num w:numId="8" w16cid:durableId="2031027860">
    <w:abstractNumId w:val="15"/>
  </w:num>
  <w:num w:numId="9" w16cid:durableId="2021662397">
    <w:abstractNumId w:val="13"/>
  </w:num>
  <w:num w:numId="10" w16cid:durableId="1166435422">
    <w:abstractNumId w:val="14"/>
  </w:num>
  <w:num w:numId="11" w16cid:durableId="29300922">
    <w:abstractNumId w:val="11"/>
  </w:num>
  <w:num w:numId="12" w16cid:durableId="2019690879">
    <w:abstractNumId w:val="12"/>
  </w:num>
  <w:num w:numId="13" w16cid:durableId="30375601">
    <w:abstractNumId w:val="9"/>
  </w:num>
  <w:num w:numId="14" w16cid:durableId="1988510446">
    <w:abstractNumId w:val="10"/>
  </w:num>
  <w:num w:numId="15" w16cid:durableId="1529640542">
    <w:abstractNumId w:val="5"/>
  </w:num>
  <w:num w:numId="16" w16cid:durableId="1383208750">
    <w:abstractNumId w:val="3"/>
  </w:num>
  <w:num w:numId="17" w16cid:durableId="1936597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E1"/>
    <w:rsid w:val="00016557"/>
    <w:rsid w:val="00016CB2"/>
    <w:rsid w:val="00022FE7"/>
    <w:rsid w:val="00023C40"/>
    <w:rsid w:val="00033397"/>
    <w:rsid w:val="00040095"/>
    <w:rsid w:val="000515F0"/>
    <w:rsid w:val="00051F26"/>
    <w:rsid w:val="0006083D"/>
    <w:rsid w:val="00061AA7"/>
    <w:rsid w:val="00065268"/>
    <w:rsid w:val="00073C9C"/>
    <w:rsid w:val="00075AA9"/>
    <w:rsid w:val="00076412"/>
    <w:rsid w:val="00080512"/>
    <w:rsid w:val="00090468"/>
    <w:rsid w:val="00094568"/>
    <w:rsid w:val="000B7BCF"/>
    <w:rsid w:val="000C522B"/>
    <w:rsid w:val="000D11E3"/>
    <w:rsid w:val="000D58AB"/>
    <w:rsid w:val="000F6C21"/>
    <w:rsid w:val="00112350"/>
    <w:rsid w:val="0011278F"/>
    <w:rsid w:val="00112F1A"/>
    <w:rsid w:val="00145075"/>
    <w:rsid w:val="00146B24"/>
    <w:rsid w:val="001727D8"/>
    <w:rsid w:val="001741A0"/>
    <w:rsid w:val="00175FA0"/>
    <w:rsid w:val="0019389A"/>
    <w:rsid w:val="00194CD0"/>
    <w:rsid w:val="001B49C9"/>
    <w:rsid w:val="001C0BE7"/>
    <w:rsid w:val="001C23F4"/>
    <w:rsid w:val="001C4F79"/>
    <w:rsid w:val="001E18FB"/>
    <w:rsid w:val="001F168B"/>
    <w:rsid w:val="001F7831"/>
    <w:rsid w:val="00204045"/>
    <w:rsid w:val="0020712B"/>
    <w:rsid w:val="0022606D"/>
    <w:rsid w:val="0023079C"/>
    <w:rsid w:val="00231728"/>
    <w:rsid w:val="00235A71"/>
    <w:rsid w:val="00244A05"/>
    <w:rsid w:val="00250404"/>
    <w:rsid w:val="00256B74"/>
    <w:rsid w:val="002610D8"/>
    <w:rsid w:val="00263B9B"/>
    <w:rsid w:val="002747EC"/>
    <w:rsid w:val="002855BF"/>
    <w:rsid w:val="002932F5"/>
    <w:rsid w:val="002B2988"/>
    <w:rsid w:val="002F0D22"/>
    <w:rsid w:val="002F2765"/>
    <w:rsid w:val="0031088E"/>
    <w:rsid w:val="00311B17"/>
    <w:rsid w:val="003172DC"/>
    <w:rsid w:val="00325AE3"/>
    <w:rsid w:val="00326069"/>
    <w:rsid w:val="0035462D"/>
    <w:rsid w:val="0036459E"/>
    <w:rsid w:val="00364B41"/>
    <w:rsid w:val="00365152"/>
    <w:rsid w:val="00370CE2"/>
    <w:rsid w:val="00383096"/>
    <w:rsid w:val="00391C57"/>
    <w:rsid w:val="0039346C"/>
    <w:rsid w:val="003A41EF"/>
    <w:rsid w:val="003B40AD"/>
    <w:rsid w:val="003C26A9"/>
    <w:rsid w:val="003C4E37"/>
    <w:rsid w:val="003E16BE"/>
    <w:rsid w:val="003F4E28"/>
    <w:rsid w:val="004006E8"/>
    <w:rsid w:val="00401855"/>
    <w:rsid w:val="00415E40"/>
    <w:rsid w:val="00446C3A"/>
    <w:rsid w:val="00456F79"/>
    <w:rsid w:val="0046304C"/>
    <w:rsid w:val="00465587"/>
    <w:rsid w:val="00477455"/>
    <w:rsid w:val="004A1F7B"/>
    <w:rsid w:val="004C44D2"/>
    <w:rsid w:val="004D3578"/>
    <w:rsid w:val="004D380D"/>
    <w:rsid w:val="004E213A"/>
    <w:rsid w:val="004F4540"/>
    <w:rsid w:val="004F73A7"/>
    <w:rsid w:val="00503171"/>
    <w:rsid w:val="00506C28"/>
    <w:rsid w:val="00534DA0"/>
    <w:rsid w:val="005427E3"/>
    <w:rsid w:val="00543E6C"/>
    <w:rsid w:val="0054680B"/>
    <w:rsid w:val="00565087"/>
    <w:rsid w:val="0056573F"/>
    <w:rsid w:val="00571279"/>
    <w:rsid w:val="00585DBE"/>
    <w:rsid w:val="005A13AB"/>
    <w:rsid w:val="005A49C6"/>
    <w:rsid w:val="005B26FC"/>
    <w:rsid w:val="005C766E"/>
    <w:rsid w:val="005C7CD5"/>
    <w:rsid w:val="00611566"/>
    <w:rsid w:val="00616887"/>
    <w:rsid w:val="006235CE"/>
    <w:rsid w:val="00646D99"/>
    <w:rsid w:val="00646E5D"/>
    <w:rsid w:val="00654EFF"/>
    <w:rsid w:val="00656910"/>
    <w:rsid w:val="006574C0"/>
    <w:rsid w:val="00696821"/>
    <w:rsid w:val="006C66D8"/>
    <w:rsid w:val="006D1E24"/>
    <w:rsid w:val="006D35DE"/>
    <w:rsid w:val="006E1057"/>
    <w:rsid w:val="006E1417"/>
    <w:rsid w:val="006F4D31"/>
    <w:rsid w:val="006F6A2C"/>
    <w:rsid w:val="007069DC"/>
    <w:rsid w:val="00710201"/>
    <w:rsid w:val="0072073A"/>
    <w:rsid w:val="00730BF2"/>
    <w:rsid w:val="00731857"/>
    <w:rsid w:val="007342B5"/>
    <w:rsid w:val="00734A5B"/>
    <w:rsid w:val="00744E76"/>
    <w:rsid w:val="00757D40"/>
    <w:rsid w:val="00763A92"/>
    <w:rsid w:val="007662B5"/>
    <w:rsid w:val="0077317B"/>
    <w:rsid w:val="00781F0F"/>
    <w:rsid w:val="00786AD0"/>
    <w:rsid w:val="0078727C"/>
    <w:rsid w:val="0079049D"/>
    <w:rsid w:val="00793DC5"/>
    <w:rsid w:val="00796823"/>
    <w:rsid w:val="007A2E55"/>
    <w:rsid w:val="007B18D8"/>
    <w:rsid w:val="007B2E9A"/>
    <w:rsid w:val="007C095F"/>
    <w:rsid w:val="007C2DD0"/>
    <w:rsid w:val="007D49B4"/>
    <w:rsid w:val="007D5F25"/>
    <w:rsid w:val="007F2E08"/>
    <w:rsid w:val="007F65F0"/>
    <w:rsid w:val="008024FA"/>
    <w:rsid w:val="008028A4"/>
    <w:rsid w:val="00813245"/>
    <w:rsid w:val="00840DE0"/>
    <w:rsid w:val="00847CD0"/>
    <w:rsid w:val="008607A8"/>
    <w:rsid w:val="0086354A"/>
    <w:rsid w:val="008768CA"/>
    <w:rsid w:val="00877EF9"/>
    <w:rsid w:val="00880559"/>
    <w:rsid w:val="008911A2"/>
    <w:rsid w:val="008A4279"/>
    <w:rsid w:val="008B5306"/>
    <w:rsid w:val="008B54E8"/>
    <w:rsid w:val="008C2E2A"/>
    <w:rsid w:val="008C3057"/>
    <w:rsid w:val="008C53C9"/>
    <w:rsid w:val="008D2E4D"/>
    <w:rsid w:val="008F396F"/>
    <w:rsid w:val="008F3DCD"/>
    <w:rsid w:val="009014A9"/>
    <w:rsid w:val="0090271F"/>
    <w:rsid w:val="00902DB9"/>
    <w:rsid w:val="0090466A"/>
    <w:rsid w:val="0091193B"/>
    <w:rsid w:val="00923655"/>
    <w:rsid w:val="00931315"/>
    <w:rsid w:val="009339CB"/>
    <w:rsid w:val="00936071"/>
    <w:rsid w:val="009376CD"/>
    <w:rsid w:val="00940212"/>
    <w:rsid w:val="00942EC2"/>
    <w:rsid w:val="009540CC"/>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7DF5"/>
    <w:rsid w:val="00A3645C"/>
    <w:rsid w:val="00A36F5F"/>
    <w:rsid w:val="00A37F74"/>
    <w:rsid w:val="00A403BF"/>
    <w:rsid w:val="00A430EC"/>
    <w:rsid w:val="00A53724"/>
    <w:rsid w:val="00A54B2B"/>
    <w:rsid w:val="00A703B6"/>
    <w:rsid w:val="00A82346"/>
    <w:rsid w:val="00A9671C"/>
    <w:rsid w:val="00A96ADE"/>
    <w:rsid w:val="00AA1553"/>
    <w:rsid w:val="00AB11FB"/>
    <w:rsid w:val="00AE58C8"/>
    <w:rsid w:val="00B05380"/>
    <w:rsid w:val="00B05962"/>
    <w:rsid w:val="00B15449"/>
    <w:rsid w:val="00B16C2F"/>
    <w:rsid w:val="00B27303"/>
    <w:rsid w:val="00B321EF"/>
    <w:rsid w:val="00B47FD1"/>
    <w:rsid w:val="00B516BB"/>
    <w:rsid w:val="00B7538C"/>
    <w:rsid w:val="00B82F65"/>
    <w:rsid w:val="00B84DB2"/>
    <w:rsid w:val="00BC3555"/>
    <w:rsid w:val="00BC7574"/>
    <w:rsid w:val="00BF1A76"/>
    <w:rsid w:val="00C12B51"/>
    <w:rsid w:val="00C24650"/>
    <w:rsid w:val="00C25465"/>
    <w:rsid w:val="00C33079"/>
    <w:rsid w:val="00C55A12"/>
    <w:rsid w:val="00C6553E"/>
    <w:rsid w:val="00C83A13"/>
    <w:rsid w:val="00C86F10"/>
    <w:rsid w:val="00C9068C"/>
    <w:rsid w:val="00C92967"/>
    <w:rsid w:val="00CA3D0C"/>
    <w:rsid w:val="00CA61F3"/>
    <w:rsid w:val="00CA654B"/>
    <w:rsid w:val="00CB72B8"/>
    <w:rsid w:val="00CD0BA8"/>
    <w:rsid w:val="00CD4C7B"/>
    <w:rsid w:val="00CD58FE"/>
    <w:rsid w:val="00CE2F44"/>
    <w:rsid w:val="00CE65CA"/>
    <w:rsid w:val="00D01623"/>
    <w:rsid w:val="00D33BE3"/>
    <w:rsid w:val="00D3792D"/>
    <w:rsid w:val="00D54820"/>
    <w:rsid w:val="00D55DCF"/>
    <w:rsid w:val="00D55E47"/>
    <w:rsid w:val="00D62E19"/>
    <w:rsid w:val="00D67CD1"/>
    <w:rsid w:val="00D70205"/>
    <w:rsid w:val="00D738D6"/>
    <w:rsid w:val="00D80795"/>
    <w:rsid w:val="00D82D77"/>
    <w:rsid w:val="00D854BE"/>
    <w:rsid w:val="00D87E00"/>
    <w:rsid w:val="00D9134D"/>
    <w:rsid w:val="00D96D11"/>
    <w:rsid w:val="00DA7A03"/>
    <w:rsid w:val="00DB0DB8"/>
    <w:rsid w:val="00DB1818"/>
    <w:rsid w:val="00DC2404"/>
    <w:rsid w:val="00DC309B"/>
    <w:rsid w:val="00DC4DA2"/>
    <w:rsid w:val="00DC5261"/>
    <w:rsid w:val="00DE25D2"/>
    <w:rsid w:val="00DF7C20"/>
    <w:rsid w:val="00E02BF1"/>
    <w:rsid w:val="00E038FB"/>
    <w:rsid w:val="00E46C08"/>
    <w:rsid w:val="00E471CF"/>
    <w:rsid w:val="00E62835"/>
    <w:rsid w:val="00E732BE"/>
    <w:rsid w:val="00E756B4"/>
    <w:rsid w:val="00E77645"/>
    <w:rsid w:val="00E814C6"/>
    <w:rsid w:val="00E83697"/>
    <w:rsid w:val="00E859B6"/>
    <w:rsid w:val="00EA66C9"/>
    <w:rsid w:val="00EB5D32"/>
    <w:rsid w:val="00EC4A25"/>
    <w:rsid w:val="00EE0CB0"/>
    <w:rsid w:val="00EF612C"/>
    <w:rsid w:val="00F025A2"/>
    <w:rsid w:val="00F036E9"/>
    <w:rsid w:val="00F07388"/>
    <w:rsid w:val="00F2026E"/>
    <w:rsid w:val="00F2210A"/>
    <w:rsid w:val="00F31372"/>
    <w:rsid w:val="00F37743"/>
    <w:rsid w:val="00F52251"/>
    <w:rsid w:val="00F54A3D"/>
    <w:rsid w:val="00F54CB0"/>
    <w:rsid w:val="00F579CD"/>
    <w:rsid w:val="00F60E85"/>
    <w:rsid w:val="00F653B8"/>
    <w:rsid w:val="00F71B89"/>
    <w:rsid w:val="00F7353C"/>
    <w:rsid w:val="00F76F8F"/>
    <w:rsid w:val="00F87257"/>
    <w:rsid w:val="00F941DF"/>
    <w:rsid w:val="00FA1266"/>
    <w:rsid w:val="00FA1A87"/>
    <w:rsid w:val="00FB36FA"/>
    <w:rsid w:val="00FC1192"/>
    <w:rsid w:val="00FE106D"/>
    <w:rsid w:val="00FE251B"/>
    <w:rsid w:val="00FF5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uiPriority w:val="59"/>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paragraph" w:styleId="Revision">
    <w:name w:val="Revision"/>
    <w:hidden/>
    <w:uiPriority w:val="99"/>
    <w:semiHidden/>
    <w:rsid w:val="00A96ADE"/>
    <w:rPr>
      <w:lang w:eastAsia="en-US"/>
    </w:rPr>
  </w:style>
  <w:style w:type="paragraph" w:customStyle="1" w:styleId="Agreement">
    <w:name w:val="Agreement"/>
    <w:basedOn w:val="Normal"/>
    <w:next w:val="Normal"/>
    <w:uiPriority w:val="99"/>
    <w:qFormat/>
    <w:rsid w:val="00016CB2"/>
    <w:pPr>
      <w:numPr>
        <w:numId w:val="1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7D49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D49B4"/>
    <w:rPr>
      <w:rFonts w:ascii="Arial" w:hAnsi="Arial"/>
      <w:lang w:eastAsia="ja-JP"/>
    </w:rPr>
  </w:style>
  <w:style w:type="character" w:styleId="CommentReference">
    <w:name w:val="annotation reference"/>
    <w:basedOn w:val="DefaultParagraphFont"/>
    <w:rsid w:val="00730BF2"/>
    <w:rPr>
      <w:sz w:val="16"/>
      <w:szCs w:val="16"/>
    </w:rPr>
  </w:style>
  <w:style w:type="paragraph" w:styleId="CommentText">
    <w:name w:val="annotation text"/>
    <w:basedOn w:val="Normal"/>
    <w:link w:val="CommentTextChar"/>
    <w:rsid w:val="00730BF2"/>
  </w:style>
  <w:style w:type="character" w:customStyle="1" w:styleId="CommentTextChar">
    <w:name w:val="Comment Text Char"/>
    <w:basedOn w:val="DefaultParagraphFont"/>
    <w:link w:val="CommentText"/>
    <w:rsid w:val="00730BF2"/>
    <w:rPr>
      <w:lang w:eastAsia="en-US"/>
    </w:rPr>
  </w:style>
  <w:style w:type="paragraph" w:styleId="CommentSubject">
    <w:name w:val="annotation subject"/>
    <w:basedOn w:val="CommentText"/>
    <w:next w:val="CommentText"/>
    <w:link w:val="CommentSubjectChar"/>
    <w:rsid w:val="00730BF2"/>
    <w:rPr>
      <w:b/>
      <w:bCs/>
    </w:rPr>
  </w:style>
  <w:style w:type="character" w:customStyle="1" w:styleId="CommentSubjectChar">
    <w:name w:val="Comment Subject Char"/>
    <w:basedOn w:val="CommentTextChar"/>
    <w:link w:val="CommentSubject"/>
    <w:rsid w:val="00730B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5AIRPNAIUNRU-859666464-13408</_dlc_DocId>
    <_dlc_DocIdUrl xmlns="71c5aaf6-e6ce-465b-b873-5148d2a4c105">
      <Url>https://nokia.sharepoint.com/sites/c5g/e2earch/_layouts/15/DocIdRedir.aspx?ID=5AIRPNAIUNRU-859666464-13408</Url>
      <Description>5AIRPNAIUNRU-859666464-13408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purl.org/dc/dcmitype/"/>
    <ds:schemaRef ds:uri="http://www.w3.org/XML/1998/namespace"/>
    <ds:schemaRef ds:uri="83f22d2f-d16e-4be6-ad4f-29fa0b067c3c"/>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a3840f4f-04be-43d1-b2ef-6ff1382503c7"/>
    <ds:schemaRef ds:uri="3b34c8f0-1ef5-4d1e-bb66-517ce7fe7356"/>
    <ds:schemaRef ds:uri="http://purl.org/dc/elements/1.1/"/>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604</Words>
  <Characters>4896</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5490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7</cp:revision>
  <dcterms:created xsi:type="dcterms:W3CDTF">2023-09-26T09:50:00Z</dcterms:created>
  <dcterms:modified xsi:type="dcterms:W3CDTF">2023-09-28T11:31:00Z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a1896da3-c1c9-4e12-8589-7643d15e581f</vt:lpwstr>
  </property>
</Properties>
</file>